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90BD" w14:textId="1131766E" w:rsidR="002E73E9" w:rsidRDefault="00695F3C" w:rsidP="00F93611">
      <w:pPr>
        <w:jc w:val="center"/>
        <w:rPr>
          <w:b/>
          <w:bCs/>
        </w:rPr>
      </w:pPr>
      <w:r>
        <w:rPr>
          <w:b/>
          <w:bCs/>
        </w:rPr>
        <w:t>ICANN</w:t>
      </w:r>
      <w:r w:rsidR="00F93611" w:rsidRPr="00F93611">
        <w:rPr>
          <w:b/>
          <w:bCs/>
        </w:rPr>
        <w:t xml:space="preserve"> </w:t>
      </w:r>
      <w:r>
        <w:rPr>
          <w:b/>
          <w:bCs/>
        </w:rPr>
        <w:t>Business</w:t>
      </w:r>
      <w:r w:rsidR="00F93611" w:rsidRPr="00F93611">
        <w:rPr>
          <w:b/>
          <w:bCs/>
        </w:rPr>
        <w:t xml:space="preserve"> Constituency </w:t>
      </w:r>
      <w:r w:rsidR="00BD4D02">
        <w:rPr>
          <w:b/>
          <w:bCs/>
        </w:rPr>
        <w:t xml:space="preserve">and IP Constituency </w:t>
      </w:r>
      <w:r>
        <w:rPr>
          <w:b/>
          <w:bCs/>
        </w:rPr>
        <w:t>Comment</w:t>
      </w:r>
    </w:p>
    <w:p w14:paraId="62FCCB73" w14:textId="3CB8557E" w:rsidR="00695F3C" w:rsidRPr="00F93611" w:rsidRDefault="00695F3C" w:rsidP="00F93611">
      <w:pPr>
        <w:jc w:val="center"/>
        <w:rPr>
          <w:b/>
          <w:bCs/>
        </w:rPr>
      </w:pPr>
      <w:r>
        <w:rPr>
          <w:b/>
          <w:bCs/>
        </w:rPr>
        <w:t>on</w:t>
      </w:r>
    </w:p>
    <w:p w14:paraId="352224B4" w14:textId="3B58B563" w:rsidR="00F93611" w:rsidRDefault="00695F3C" w:rsidP="00F93611">
      <w:pPr>
        <w:jc w:val="center"/>
        <w:rPr>
          <w:b/>
          <w:bCs/>
        </w:rPr>
      </w:pPr>
      <w:r w:rsidRPr="00695F3C">
        <w:rPr>
          <w:b/>
          <w:bCs/>
        </w:rPr>
        <w:t>EPDP Phase 2A Policy Recommendations for ICANN Board Consideration</w:t>
      </w:r>
    </w:p>
    <w:p w14:paraId="683ED2A2" w14:textId="1A7B738B" w:rsidR="00695F3C" w:rsidRDefault="003549D9" w:rsidP="00F93611">
      <w:pPr>
        <w:jc w:val="center"/>
        <w:rPr>
          <w:b/>
          <w:bCs/>
        </w:rPr>
      </w:pPr>
      <w:r>
        <w:rPr>
          <w:b/>
          <w:bCs/>
        </w:rPr>
        <w:t>13</w:t>
      </w:r>
      <w:r w:rsidR="00695F3C">
        <w:rPr>
          <w:b/>
          <w:bCs/>
        </w:rPr>
        <w:t>-Jan-2022</w:t>
      </w:r>
    </w:p>
    <w:p w14:paraId="397AE966" w14:textId="77777777" w:rsidR="00695F3C" w:rsidRDefault="00695F3C" w:rsidP="00F93611">
      <w:pPr>
        <w:jc w:val="center"/>
      </w:pPr>
    </w:p>
    <w:p w14:paraId="2C65CDD5" w14:textId="50EE2C84" w:rsidR="00B92E9C" w:rsidRDefault="00695F3C" w:rsidP="00695F3C">
      <w:pPr>
        <w:jc w:val="both"/>
        <w:rPr>
          <w:b/>
          <w:bCs/>
        </w:rPr>
      </w:pPr>
      <w:r>
        <w:rPr>
          <w:b/>
          <w:bCs/>
        </w:rPr>
        <w:t>Background</w:t>
      </w:r>
    </w:p>
    <w:p w14:paraId="5C2EB6F7" w14:textId="77777777" w:rsidR="00695F3C" w:rsidRDefault="00695F3C" w:rsidP="00695F3C">
      <w:pPr>
        <w:jc w:val="both"/>
        <w:rPr>
          <w:b/>
          <w:bCs/>
        </w:rPr>
      </w:pPr>
    </w:p>
    <w:p w14:paraId="3DD09C77" w14:textId="50C76A5D" w:rsidR="00695F3C" w:rsidRPr="00695F3C" w:rsidRDefault="00695F3C" w:rsidP="00695F3C">
      <w:pPr>
        <w:spacing w:after="240"/>
        <w:jc w:val="both"/>
      </w:pPr>
      <w:r w:rsidRPr="00695F3C">
        <w:t>This document is the response of the ICANN Business Constituency (BC), from the perspective of</w:t>
      </w:r>
      <w:r>
        <w:t xml:space="preserve"> </w:t>
      </w:r>
      <w:r w:rsidRPr="00695F3C">
        <w:t>business users and registrants, as defined in our Charter:</w:t>
      </w:r>
    </w:p>
    <w:p w14:paraId="734251EA" w14:textId="1C854867" w:rsidR="00695F3C" w:rsidRPr="00695F3C" w:rsidRDefault="00695F3C" w:rsidP="00695F3C">
      <w:pPr>
        <w:spacing w:after="240"/>
        <w:jc w:val="both"/>
      </w:pPr>
      <w:r>
        <w:tab/>
      </w:r>
      <w:r w:rsidRPr="00695F3C">
        <w:t xml:space="preserve">The mission of the Business Constituency is to ensure that ICANN policy positions are </w:t>
      </w:r>
      <w:r>
        <w:tab/>
      </w:r>
      <w:r w:rsidRPr="00695F3C">
        <w:t>consistent</w:t>
      </w:r>
      <w:r>
        <w:t xml:space="preserve"> </w:t>
      </w:r>
      <w:r w:rsidRPr="00695F3C">
        <w:t>with the development of an Internet that:</w:t>
      </w:r>
    </w:p>
    <w:p w14:paraId="524D7AEA" w14:textId="2110B2BB" w:rsidR="00695F3C" w:rsidRPr="00695F3C" w:rsidRDefault="00695F3C" w:rsidP="00695F3C">
      <w:pPr>
        <w:spacing w:after="240"/>
        <w:jc w:val="both"/>
      </w:pPr>
      <w:r>
        <w:tab/>
      </w:r>
      <w:r w:rsidRPr="00695F3C">
        <w:t xml:space="preserve">1. Promotes end-user confidence because it is a safe place to conduct </w:t>
      </w:r>
      <w:proofErr w:type="gramStart"/>
      <w:r w:rsidRPr="00695F3C">
        <w:t>business;</w:t>
      </w:r>
      <w:proofErr w:type="gramEnd"/>
    </w:p>
    <w:p w14:paraId="0171350F" w14:textId="18A5771E" w:rsidR="00695F3C" w:rsidRPr="00695F3C" w:rsidRDefault="00695F3C" w:rsidP="00695F3C">
      <w:pPr>
        <w:spacing w:after="240"/>
        <w:jc w:val="both"/>
      </w:pPr>
      <w:r>
        <w:tab/>
      </w:r>
      <w:r w:rsidRPr="00695F3C">
        <w:t>2. Is competitive in the supply of registry and registrar and related services; and</w:t>
      </w:r>
    </w:p>
    <w:p w14:paraId="5682E4F0" w14:textId="273C8E15" w:rsidR="00695F3C" w:rsidRDefault="00695F3C" w:rsidP="00695F3C">
      <w:pPr>
        <w:spacing w:after="240"/>
        <w:jc w:val="both"/>
      </w:pPr>
      <w:r>
        <w:tab/>
      </w:r>
      <w:r w:rsidRPr="00695F3C">
        <w:t xml:space="preserve">3. Is technically stable, </w:t>
      </w:r>
      <w:proofErr w:type="gramStart"/>
      <w:r w:rsidRPr="00695F3C">
        <w:t>secure</w:t>
      </w:r>
      <w:proofErr w:type="gramEnd"/>
      <w:r w:rsidRPr="00695F3C">
        <w:t xml:space="preserve"> and reliable.</w:t>
      </w:r>
    </w:p>
    <w:p w14:paraId="592394CB" w14:textId="672BF3C4" w:rsidR="00BD4D02" w:rsidRDefault="00BD4D02" w:rsidP="00695F3C">
      <w:pPr>
        <w:spacing w:after="240"/>
        <w:jc w:val="both"/>
      </w:pPr>
      <w:r>
        <w:t xml:space="preserve">The BC is joined </w:t>
      </w:r>
      <w:r w:rsidR="007A0901">
        <w:t>in this comment b</w:t>
      </w:r>
      <w:r>
        <w:t>y the Intellectual Property Constituency (IPC)</w:t>
      </w:r>
      <w:r w:rsidR="007A0901">
        <w:t>, which</w:t>
      </w:r>
      <w:r w:rsidR="008B3BE2">
        <w:t xml:space="preserve"> is </w:t>
      </w:r>
      <w:r w:rsidR="008B3BE2" w:rsidRPr="008B3BE2">
        <w:t>charged with the responsibility of advising the ICANN Board on policy issues relating to the management of the domain name system</w:t>
      </w:r>
      <w:r w:rsidR="007A0901">
        <w:t xml:space="preserve">, and which represents </w:t>
      </w:r>
      <w:r w:rsidR="007A0901" w:rsidRPr="007A0901">
        <w:t>the views and interests of owners of intellectual property worldwide, with a particular emphasis on trademark, copyright, and related intellectual property rights and their effect and interaction with the DNS.  The IPC works to ensure that these views, including minority views, are reflected in the recommendations made by the GNSO Council to the ICANN Board.</w:t>
      </w:r>
    </w:p>
    <w:p w14:paraId="0ECD4B87" w14:textId="31A1164B" w:rsidR="00695F3C" w:rsidRPr="00695F3C" w:rsidRDefault="00695F3C" w:rsidP="00695F3C">
      <w:pPr>
        <w:spacing w:after="240"/>
        <w:jc w:val="both"/>
        <w:rPr>
          <w:b/>
          <w:bCs/>
        </w:rPr>
      </w:pPr>
      <w:r w:rsidRPr="00695F3C">
        <w:rPr>
          <w:b/>
          <w:bCs/>
        </w:rPr>
        <w:t>General Comment on EPDP Phase 2A Policy Recommendations for ICANN Board Consideration</w:t>
      </w:r>
      <w:r>
        <w:rPr>
          <w:rStyle w:val="FootnoteReference"/>
          <w:b/>
          <w:bCs/>
        </w:rPr>
        <w:footnoteReference w:id="1"/>
      </w:r>
    </w:p>
    <w:p w14:paraId="4FEA2BEF" w14:textId="7E63E3EB" w:rsidR="007856C1" w:rsidRDefault="00695F3C" w:rsidP="00695F3C">
      <w:pPr>
        <w:jc w:val="both"/>
      </w:pPr>
      <w:r>
        <w:t xml:space="preserve">The BC </w:t>
      </w:r>
      <w:r w:rsidR="009667BB">
        <w:t xml:space="preserve">and IPC </w:t>
      </w:r>
      <w:r>
        <w:t xml:space="preserve">extend </w:t>
      </w:r>
      <w:r w:rsidR="009667BB">
        <w:t>their</w:t>
      </w:r>
      <w:r>
        <w:t xml:space="preserve"> appreciation to the members of the EPDP </w:t>
      </w:r>
      <w:r w:rsidR="001B7BBC">
        <w:t xml:space="preserve">Phase 2A team </w:t>
      </w:r>
      <w:r>
        <w:t xml:space="preserve">for examining the important </w:t>
      </w:r>
      <w:r w:rsidR="001B7BBC">
        <w:t xml:space="preserve">issues requested of it </w:t>
      </w:r>
      <w:r>
        <w:t>by the GNSO</w:t>
      </w:r>
      <w:r w:rsidR="001B7BBC">
        <w:t xml:space="preserve"> Council</w:t>
      </w:r>
      <w:r w:rsidR="001B7BBC">
        <w:rPr>
          <w:rStyle w:val="FootnoteReference"/>
        </w:rPr>
        <w:footnoteReference w:id="2"/>
      </w:r>
      <w:r>
        <w:t>, namely</w:t>
      </w:r>
      <w:r w:rsidR="001B7BBC">
        <w:t>:</w:t>
      </w:r>
    </w:p>
    <w:p w14:paraId="75781E75" w14:textId="1C356DA9" w:rsidR="001B7BBC" w:rsidRDefault="001B7BBC" w:rsidP="00695F3C">
      <w:pPr>
        <w:jc w:val="both"/>
      </w:pPr>
    </w:p>
    <w:p w14:paraId="2E51F9BF" w14:textId="10F1C5CB" w:rsidR="001B7BBC" w:rsidRDefault="001B7BBC" w:rsidP="005506FB">
      <w:pPr>
        <w:pStyle w:val="ListParagraph"/>
        <w:numPr>
          <w:ilvl w:val="0"/>
          <w:numId w:val="3"/>
        </w:numPr>
        <w:jc w:val="both"/>
      </w:pPr>
      <w:r>
        <w:t xml:space="preserve">Whether any updates are required to the EPDP Phase 1 recommendation on this topic (“Registrars and Registry Operators are permitted to differentiate between registrations of legal and natural </w:t>
      </w:r>
      <w:proofErr w:type="gramStart"/>
      <w:r>
        <w:t>persons, but</w:t>
      </w:r>
      <w:proofErr w:type="gramEnd"/>
      <w:r>
        <w:t xml:space="preserve"> are not obligated to do so</w:t>
      </w:r>
      <w:r w:rsidR="00445072">
        <w:t>”</w:t>
      </w:r>
      <w:r>
        <w:t>).</w:t>
      </w:r>
    </w:p>
    <w:p w14:paraId="48BCA950" w14:textId="2ACEA7A7" w:rsidR="001B7BBC" w:rsidRDefault="001B7BBC" w:rsidP="00150E4D">
      <w:pPr>
        <w:pStyle w:val="ListParagraph"/>
        <w:numPr>
          <w:ilvl w:val="0"/>
          <w:numId w:val="3"/>
        </w:numPr>
        <w:jc w:val="both"/>
      </w:pPr>
      <w:r>
        <w:t xml:space="preserve">What guidance, if any, can be provided to </w:t>
      </w:r>
      <w:r w:rsidR="0044393A">
        <w:t>r</w:t>
      </w:r>
      <w:r>
        <w:t xml:space="preserve">egistrars and/or </w:t>
      </w:r>
      <w:r w:rsidR="0044393A">
        <w:t>r</w:t>
      </w:r>
      <w:r>
        <w:t>egistries who differentiate between registrations of legal and natural persons.</w:t>
      </w:r>
    </w:p>
    <w:p w14:paraId="39EA7A7F" w14:textId="6AB6D2F5" w:rsidR="001B7BBC" w:rsidRDefault="001B7BBC" w:rsidP="00225577">
      <w:pPr>
        <w:pStyle w:val="ListParagraph"/>
        <w:numPr>
          <w:ilvl w:val="0"/>
          <w:numId w:val="3"/>
        </w:numPr>
        <w:jc w:val="both"/>
      </w:pPr>
      <w:r>
        <w:t>Whether or not unique contacts to have a uniform anonymized email address is feasible, and if feasible, whether it should be a requirement.</w:t>
      </w:r>
    </w:p>
    <w:p w14:paraId="2C0546DC" w14:textId="5AB22E4C" w:rsidR="001B7BBC" w:rsidRDefault="001B7BBC" w:rsidP="000E3CA2">
      <w:pPr>
        <w:pStyle w:val="ListParagraph"/>
        <w:numPr>
          <w:ilvl w:val="0"/>
          <w:numId w:val="3"/>
        </w:numPr>
        <w:jc w:val="both"/>
      </w:pPr>
      <w:r>
        <w:t xml:space="preserve">If feasible, but not a requirement, what guidance, if any, can be provided to </w:t>
      </w:r>
      <w:r w:rsidR="0044393A">
        <w:t>c</w:t>
      </w:r>
      <w:r>
        <w:t xml:space="preserve">ontracted </w:t>
      </w:r>
      <w:r w:rsidR="0044393A">
        <w:t>p</w:t>
      </w:r>
      <w:r>
        <w:t>arties who may want to implement uniform anonymized email addresses.</w:t>
      </w:r>
    </w:p>
    <w:p w14:paraId="5A2EBDC9" w14:textId="1BCE7FEE" w:rsidR="001B7BBC" w:rsidRDefault="001B7BBC" w:rsidP="001B7BBC">
      <w:pPr>
        <w:jc w:val="both"/>
      </w:pPr>
    </w:p>
    <w:p w14:paraId="7DAEB2FC" w14:textId="2E69E439" w:rsidR="005A1E4C" w:rsidRDefault="001B7BBC" w:rsidP="00FC74F8">
      <w:pPr>
        <w:jc w:val="both"/>
      </w:pPr>
      <w:r>
        <w:t>As previously stated in the BC’s</w:t>
      </w:r>
      <w:r w:rsidR="00FE1C70">
        <w:t xml:space="preserve"> and IPC’s</w:t>
      </w:r>
      <w:r>
        <w:t xml:space="preserve"> Minority Statement</w:t>
      </w:r>
      <w:r w:rsidR="00FE1C70">
        <w:t>s</w:t>
      </w:r>
      <w:r>
        <w:t xml:space="preserve"> on the EPDP Phase 2A Final Report, the BC</w:t>
      </w:r>
      <w:r w:rsidR="00FE1C70">
        <w:t xml:space="preserve"> and IPC are</w:t>
      </w:r>
      <w:r>
        <w:t xml:space="preserve"> ardent supporter</w:t>
      </w:r>
      <w:r w:rsidR="00FE1C70">
        <w:t>s</w:t>
      </w:r>
      <w:r>
        <w:t xml:space="preserve"> of privacy rights and the protective intent of the </w:t>
      </w:r>
      <w:r>
        <w:lastRenderedPageBreak/>
        <w:t>GDPR.</w:t>
      </w:r>
      <w:r w:rsidR="00E6239F">
        <w:t xml:space="preserve">  </w:t>
      </w:r>
      <w:r>
        <w:t>However, in the context of the EPDP team’s work -- a team that was explicitly directed to “preserve the WHOIS database</w:t>
      </w:r>
      <w:r w:rsidR="00E6239F">
        <w:t xml:space="preserve"> </w:t>
      </w:r>
      <w:r>
        <w:t>to the greatest extent possible” while complying with privacy law -- the resulting policy</w:t>
      </w:r>
      <w:r w:rsidR="00E6239F">
        <w:t xml:space="preserve"> </w:t>
      </w:r>
      <w:r>
        <w:t>exceeds what is necessary to protect the data of natural persons.</w:t>
      </w:r>
      <w:r w:rsidR="00E6239F">
        <w:t xml:space="preserve">  As it has previously stated, the BC </w:t>
      </w:r>
      <w:r w:rsidR="00FE1C70">
        <w:t xml:space="preserve">and IPC </w:t>
      </w:r>
      <w:r w:rsidR="00E6239F">
        <w:t>strongly believe that optional differentiation of legal vs.</w:t>
      </w:r>
      <w:r w:rsidR="008F72DF">
        <w:t xml:space="preserve"> </w:t>
      </w:r>
      <w:r w:rsidR="00E6239F">
        <w:t>natural persons is inadequate and that ICANN policy must require such differentiation to</w:t>
      </w:r>
      <w:r w:rsidR="008F72DF">
        <w:t xml:space="preserve"> </w:t>
      </w:r>
      <w:r w:rsidR="00E6239F">
        <w:t xml:space="preserve">ensure the security and stability of the global DNS.  The EPDP Phase 2A recommendations, by not requiring a mandatory distinction between the data of legal vs. natural persons, results in a significant number of registration records being redacted or otherwise unavailable, which substantially inhibits online anti-abuse efforts. </w:t>
      </w:r>
      <w:r w:rsidR="005A1E4C">
        <w:t xml:space="preserve"> Further, the EPDP Phase 2A recommendation declining to require a unique anonymized email address for unique contacts significantly inhibits anti-abuse efforts again through an overly conservative approach that far exceeds what is necessary to comply with applicable law.  </w:t>
      </w:r>
      <w:r w:rsidR="00E6239F">
        <w:t xml:space="preserve"> </w:t>
      </w:r>
    </w:p>
    <w:p w14:paraId="7979A36E" w14:textId="77777777" w:rsidR="005A1E4C" w:rsidRDefault="005A1E4C" w:rsidP="00FC74F8">
      <w:pPr>
        <w:jc w:val="both"/>
      </w:pPr>
    </w:p>
    <w:p w14:paraId="4BE2099B" w14:textId="131E1A18" w:rsidR="00FE2E26" w:rsidRDefault="00FE2E26" w:rsidP="00FC74F8">
      <w:pPr>
        <w:jc w:val="both"/>
      </w:pPr>
      <w:r>
        <w:t>Thus, w</w:t>
      </w:r>
      <w:r w:rsidR="00FC74F8">
        <w:t xml:space="preserve">hile the EPDP </w:t>
      </w:r>
      <w:r>
        <w:t>Phase 2A Chair</w:t>
      </w:r>
      <w:r w:rsidR="00FC74F8">
        <w:t xml:space="preserve"> designated </w:t>
      </w:r>
      <w:r>
        <w:t>the Phase 2A</w:t>
      </w:r>
      <w:r w:rsidR="00FC74F8">
        <w:t xml:space="preserve"> recommendations as supported by “consensus”, the BC </w:t>
      </w:r>
      <w:r w:rsidR="00FE1C70">
        <w:t xml:space="preserve">and IPC </w:t>
      </w:r>
      <w:r w:rsidR="00FC74F8">
        <w:t xml:space="preserve">restate that </w:t>
      </w:r>
      <w:r w:rsidR="00FE1C70">
        <w:t>they</w:t>
      </w:r>
      <w:r w:rsidR="00FC74F8">
        <w:t xml:space="preserve"> do not support </w:t>
      </w:r>
      <w:r>
        <w:t xml:space="preserve">the </w:t>
      </w:r>
      <w:r w:rsidR="00FC74F8">
        <w:t xml:space="preserve">Phase 2A outcomes, do not support a “consensus” designation, </w:t>
      </w:r>
      <w:r w:rsidR="003B50E8">
        <w:t xml:space="preserve">consider the recommendations as mostly unenforceable non-policy, </w:t>
      </w:r>
      <w:r w:rsidR="00FC74F8">
        <w:t xml:space="preserve">object to the GNSO Council’s approval of these outcomes, and implore the Board to reject these non-consensus outcomes that do not serve the </w:t>
      </w:r>
      <w:r w:rsidR="0044393A">
        <w:t>m</w:t>
      </w:r>
      <w:r w:rsidR="00FC74F8">
        <w:t>ission of ICANN in preserving the security, stability, and resiliency of the DNS and which go well beyond the need of ICANN and contracted parties to comply with applicable law</w:t>
      </w:r>
      <w:r>
        <w:t>.</w:t>
      </w:r>
    </w:p>
    <w:p w14:paraId="7D2A2526" w14:textId="77777777" w:rsidR="00FE2E26" w:rsidRDefault="00FE2E26" w:rsidP="00FC74F8">
      <w:pPr>
        <w:jc w:val="both"/>
      </w:pPr>
    </w:p>
    <w:p w14:paraId="6A2A9394" w14:textId="3B89A01B" w:rsidR="003B50E8" w:rsidRDefault="003B50E8" w:rsidP="00FC74F8">
      <w:pPr>
        <w:jc w:val="both"/>
        <w:rPr>
          <w:b/>
          <w:bCs/>
        </w:rPr>
      </w:pPr>
      <w:r>
        <w:rPr>
          <w:b/>
          <w:bCs/>
        </w:rPr>
        <w:t xml:space="preserve">Specific BC </w:t>
      </w:r>
      <w:r w:rsidR="00FE1C70">
        <w:rPr>
          <w:b/>
          <w:bCs/>
        </w:rPr>
        <w:t xml:space="preserve">and IPC </w:t>
      </w:r>
      <w:r>
        <w:rPr>
          <w:b/>
          <w:bCs/>
        </w:rPr>
        <w:t>Comments on Final Recommendations</w:t>
      </w:r>
    </w:p>
    <w:p w14:paraId="21493D11" w14:textId="77777777" w:rsidR="003B50E8" w:rsidRDefault="003B50E8" w:rsidP="00FC74F8">
      <w:pPr>
        <w:jc w:val="both"/>
        <w:rPr>
          <w:b/>
          <w:bCs/>
        </w:rPr>
      </w:pPr>
    </w:p>
    <w:p w14:paraId="5C0EA13B" w14:textId="11F1671D" w:rsidR="001B7BBC" w:rsidRDefault="008A58F7" w:rsidP="00FC74F8">
      <w:pPr>
        <w:jc w:val="both"/>
        <w:rPr>
          <w:u w:val="single"/>
        </w:rPr>
      </w:pPr>
      <w:r w:rsidRPr="008A58F7">
        <w:rPr>
          <w:b/>
          <w:bCs/>
          <w:u w:val="single"/>
        </w:rPr>
        <w:t xml:space="preserve">Recommendation 1: </w:t>
      </w:r>
      <w:r w:rsidR="00557053" w:rsidRPr="00557053">
        <w:rPr>
          <w:u w:val="single"/>
        </w:rPr>
        <w:t>Natural v. Legal Person</w:t>
      </w:r>
      <w:r w:rsidR="00557053">
        <w:rPr>
          <w:b/>
          <w:bCs/>
          <w:u w:val="single"/>
        </w:rPr>
        <w:t xml:space="preserve"> </w:t>
      </w:r>
      <w:r w:rsidR="00557053">
        <w:rPr>
          <w:u w:val="single"/>
        </w:rPr>
        <w:t>Data Field</w:t>
      </w:r>
      <w:r w:rsidR="003B50E8" w:rsidRPr="008A58F7">
        <w:rPr>
          <w:b/>
          <w:bCs/>
          <w:u w:val="single"/>
        </w:rPr>
        <w:t xml:space="preserve"> </w:t>
      </w:r>
      <w:r w:rsidR="00FC74F8" w:rsidRPr="008A58F7">
        <w:rPr>
          <w:u w:val="single"/>
        </w:rPr>
        <w:t xml:space="preserve"> </w:t>
      </w:r>
      <w:r w:rsidR="00E6239F" w:rsidRPr="008A58F7">
        <w:rPr>
          <w:u w:val="single"/>
        </w:rPr>
        <w:t xml:space="preserve">   </w:t>
      </w:r>
    </w:p>
    <w:p w14:paraId="77AD71F6" w14:textId="53F9F49C" w:rsidR="008A58F7" w:rsidRDefault="008A58F7" w:rsidP="00FC74F8">
      <w:pPr>
        <w:jc w:val="both"/>
        <w:rPr>
          <w:u w:val="single"/>
        </w:rPr>
      </w:pPr>
    </w:p>
    <w:p w14:paraId="33174A34" w14:textId="04DBCF22" w:rsidR="00557053" w:rsidRDefault="00557053" w:rsidP="00A5040B">
      <w:pPr>
        <w:jc w:val="both"/>
      </w:pPr>
      <w:r>
        <w:t xml:space="preserve">The BC </w:t>
      </w:r>
      <w:r w:rsidR="00FE1C70">
        <w:t xml:space="preserve">and IPC </w:t>
      </w:r>
      <w:r>
        <w:t xml:space="preserve">oppose Recommendation 1.  </w:t>
      </w:r>
      <w:r w:rsidR="008A58F7">
        <w:t>The EPDP Phase 2A team was unable to reach consensus on recommending changes to</w:t>
      </w:r>
      <w:r>
        <w:t xml:space="preserve"> </w:t>
      </w:r>
      <w:r w:rsidR="008A58F7">
        <w:t xml:space="preserve">Phase 1 Recommendation #17.1, which makes it optional for contracted parties to differentiate between data of legal vs. natural persons for purposes of the registration data directory service (RDDS).  </w:t>
      </w:r>
      <w:r w:rsidR="00C652CC">
        <w:t xml:space="preserve">While the Phase 2A Final Report recommends that a field or fields must be created to facilitate differentiation between legal and natural person registration data and/or </w:t>
      </w:r>
      <w:r w:rsidR="009442A7">
        <w:t xml:space="preserve">indicate </w:t>
      </w:r>
      <w:r w:rsidR="00C652CC">
        <w:t xml:space="preserve">if that registration data contains personal or non-personal data, contracted parties remain free not to differentiate </w:t>
      </w:r>
      <w:r w:rsidR="00196615">
        <w:t xml:space="preserve">and </w:t>
      </w:r>
      <w:r w:rsidR="0044393A">
        <w:t xml:space="preserve">further </w:t>
      </w:r>
      <w:r w:rsidR="00196615">
        <w:t xml:space="preserve">not to even use this field, </w:t>
      </w:r>
      <w:r w:rsidR="00C652CC">
        <w:t xml:space="preserve">and </w:t>
      </w:r>
      <w:r w:rsidR="0044393A">
        <w:t xml:space="preserve">thus </w:t>
      </w:r>
      <w:r w:rsidR="00C652CC">
        <w:t>the creation of this field will be irrelevant.</w:t>
      </w:r>
      <w:r w:rsidR="009442A7">
        <w:t xml:space="preserve">  </w:t>
      </w:r>
      <w:r w:rsidR="00A5040B">
        <w:t>As stated in the BC</w:t>
      </w:r>
      <w:r w:rsidR="00FE1C70">
        <w:t xml:space="preserve"> and IPC</w:t>
      </w:r>
      <w:r w:rsidR="00A5040B">
        <w:t xml:space="preserve"> Minority Statement</w:t>
      </w:r>
      <w:r w:rsidR="00FE1C70">
        <w:t>s</w:t>
      </w:r>
      <w:r w:rsidR="00A5040B">
        <w:t xml:space="preserve">, the failure to require use of this technical mechanism will result in an inconsistent and unreliable </w:t>
      </w:r>
      <w:proofErr w:type="gramStart"/>
      <w:r w:rsidR="00A5040B">
        <w:t>RDDS, and</w:t>
      </w:r>
      <w:proofErr w:type="gramEnd"/>
      <w:r w:rsidR="00A5040B">
        <w:t xml:space="preserve"> is a missed opportunity to reduce the number of requests for non-personal data which has been unnecessarily redacted, such as the contact data for unaffiliated privacy/proxy services. Again, this outcome falls well short of the needs of those involved in the investigation of DNS abuse, cybercrime activity, intellectual property violations, and other activity that threatens the welfare of Internet users.</w:t>
      </w:r>
    </w:p>
    <w:p w14:paraId="05E31182" w14:textId="77777777" w:rsidR="00557053" w:rsidRDefault="00557053" w:rsidP="00A5040B">
      <w:pPr>
        <w:jc w:val="both"/>
      </w:pPr>
    </w:p>
    <w:p w14:paraId="732356C1" w14:textId="301AF220" w:rsidR="00557053" w:rsidRDefault="00557053" w:rsidP="00557053">
      <w:pPr>
        <w:jc w:val="both"/>
        <w:rPr>
          <w:u w:val="single"/>
        </w:rPr>
      </w:pPr>
      <w:r w:rsidRPr="008A58F7">
        <w:rPr>
          <w:b/>
          <w:bCs/>
          <w:u w:val="single"/>
        </w:rPr>
        <w:t xml:space="preserve">Recommendation </w:t>
      </w:r>
      <w:r>
        <w:rPr>
          <w:b/>
          <w:bCs/>
          <w:u w:val="single"/>
        </w:rPr>
        <w:t>2</w:t>
      </w:r>
      <w:r w:rsidRPr="008A58F7">
        <w:rPr>
          <w:b/>
          <w:bCs/>
          <w:u w:val="single"/>
        </w:rPr>
        <w:t xml:space="preserve">: </w:t>
      </w:r>
      <w:r>
        <w:rPr>
          <w:u w:val="single"/>
        </w:rPr>
        <w:t>Differentiation Guidance</w:t>
      </w:r>
    </w:p>
    <w:p w14:paraId="14C784FA" w14:textId="45452C02" w:rsidR="00557053" w:rsidRDefault="00557053" w:rsidP="00557053">
      <w:pPr>
        <w:jc w:val="both"/>
        <w:rPr>
          <w:u w:val="single"/>
        </w:rPr>
      </w:pPr>
    </w:p>
    <w:p w14:paraId="7858C711" w14:textId="7FA5F89B" w:rsidR="0041355C" w:rsidRDefault="00557053" w:rsidP="00E013DB">
      <w:pPr>
        <w:jc w:val="both"/>
      </w:pPr>
      <w:r>
        <w:t xml:space="preserve">The BC </w:t>
      </w:r>
      <w:r w:rsidR="00FE1C70">
        <w:t xml:space="preserve">and IPC </w:t>
      </w:r>
      <w:r>
        <w:t>oppose Recommendation 2.  This recommendation provides voluntary “guidance” and not binding policy, which is not consistent with the mandate of a GNSO EPDP and is therefore procedurally deficient as outlined in more detail in the BC’s</w:t>
      </w:r>
      <w:r w:rsidR="00DB02CE">
        <w:t xml:space="preserve"> and IPC’s</w:t>
      </w:r>
      <w:r>
        <w:t xml:space="preserve"> Minority Statement.  </w:t>
      </w:r>
      <w:r w:rsidR="00772BD3">
        <w:t>T</w:t>
      </w:r>
      <w:r w:rsidR="00E013DB">
        <w:t xml:space="preserve">he differentiation process outlined in this recommendation should be </w:t>
      </w:r>
      <w:r w:rsidR="00E013DB" w:rsidRPr="00772BD3">
        <w:rPr>
          <w:i/>
          <w:iCs/>
        </w:rPr>
        <w:t>required</w:t>
      </w:r>
      <w:r w:rsidR="00E013DB">
        <w:t xml:space="preserve"> as part of mandatory differentiation by contracted parties between natural and legal person </w:t>
      </w:r>
      <w:r w:rsidR="00E013DB">
        <w:lastRenderedPageBreak/>
        <w:t>data.  As the text of the Final Report itself states, “The GDPR does not cover the processing of personal data which concerns legal persons and in particular undertakings established as legal persons, including the name and the form of the legal person and the contact details of the legal person.” And yet, contracted parties are not required to differentiate</w:t>
      </w:r>
      <w:r w:rsidR="00C324F3">
        <w:t xml:space="preserve"> and thereby publish such legal person data</w:t>
      </w:r>
      <w:r w:rsidR="00E013DB">
        <w:t>, despite the purported goal of the EPDP to preserve the RDDS to the greatest extent possible while complying with privacy law.</w:t>
      </w:r>
      <w:r w:rsidR="00C324F3">
        <w:t xml:space="preserve">  </w:t>
      </w:r>
      <w:r w:rsidR="00E74E34">
        <w:t xml:space="preserve">The guidance in this recommendation provides a legally sound process for achieving this goal and should be made mandatory for all contracted parties, rather than </w:t>
      </w:r>
      <w:r w:rsidR="009509A7">
        <w:t xml:space="preserve">left as </w:t>
      </w:r>
      <w:r w:rsidR="00E74E34">
        <w:t xml:space="preserve">non-binding voluntary guidance that contracted parties are free to </w:t>
      </w:r>
      <w:r w:rsidR="00273503">
        <w:t xml:space="preserve">(and </w:t>
      </w:r>
      <w:r w:rsidR="0041355C">
        <w:t xml:space="preserve">therefore </w:t>
      </w:r>
      <w:r w:rsidR="00273503">
        <w:t xml:space="preserve">will) </w:t>
      </w:r>
      <w:r w:rsidR="00E74E34">
        <w:t>ignore.</w:t>
      </w:r>
    </w:p>
    <w:p w14:paraId="40CC4E8A" w14:textId="77777777" w:rsidR="0041355C" w:rsidRDefault="0041355C" w:rsidP="00E013DB">
      <w:pPr>
        <w:jc w:val="both"/>
      </w:pPr>
    </w:p>
    <w:p w14:paraId="058FF57D" w14:textId="50FB261F" w:rsidR="00063D0A" w:rsidRDefault="00273503" w:rsidP="00063D0A">
      <w:pPr>
        <w:jc w:val="both"/>
        <w:rPr>
          <w:u w:val="single"/>
        </w:rPr>
      </w:pPr>
      <w:r>
        <w:t xml:space="preserve"> </w:t>
      </w:r>
      <w:r w:rsidR="00063D0A" w:rsidRPr="008A58F7">
        <w:rPr>
          <w:b/>
          <w:bCs/>
          <w:u w:val="single"/>
        </w:rPr>
        <w:t xml:space="preserve">Recommendation </w:t>
      </w:r>
      <w:r w:rsidR="00063D0A">
        <w:rPr>
          <w:b/>
          <w:bCs/>
          <w:u w:val="single"/>
        </w:rPr>
        <w:t>3</w:t>
      </w:r>
      <w:r w:rsidR="00063D0A" w:rsidRPr="008A58F7">
        <w:rPr>
          <w:b/>
          <w:bCs/>
          <w:u w:val="single"/>
        </w:rPr>
        <w:t xml:space="preserve">: </w:t>
      </w:r>
      <w:r w:rsidR="00063D0A">
        <w:rPr>
          <w:u w:val="single"/>
        </w:rPr>
        <w:t>Code of Conduct</w:t>
      </w:r>
    </w:p>
    <w:p w14:paraId="4DF24469" w14:textId="62373F1E" w:rsidR="00063D0A" w:rsidRDefault="00063D0A" w:rsidP="00063D0A">
      <w:pPr>
        <w:jc w:val="both"/>
        <w:rPr>
          <w:u w:val="single"/>
        </w:rPr>
      </w:pPr>
    </w:p>
    <w:p w14:paraId="7C7D4CF8" w14:textId="1D3F476D" w:rsidR="00063D0A" w:rsidRDefault="00063D0A" w:rsidP="00063D0A">
      <w:pPr>
        <w:jc w:val="both"/>
      </w:pPr>
      <w:r>
        <w:t xml:space="preserve">The BC </w:t>
      </w:r>
      <w:r w:rsidR="00DC780D">
        <w:t xml:space="preserve">and IPC </w:t>
      </w:r>
      <w:r>
        <w:t>oppose Recommendation 3.  As discussed in the BC’s</w:t>
      </w:r>
      <w:r w:rsidR="00DC780D">
        <w:t xml:space="preserve"> and IPC’s</w:t>
      </w:r>
      <w:r>
        <w:t xml:space="preserve"> Minority Statement</w:t>
      </w:r>
      <w:r w:rsidR="00DC780D">
        <w:t>s</w:t>
      </w:r>
      <w:r>
        <w:t xml:space="preserve">, this recommendation does not define any enforceable obligations on the part of any specific party.  Recommending that work on a Code of Conduct be “considered” by “any possible future work within ICANN” is vague and unenforceable, and it leaves unaddressed community priorities that deserve due attention.  The BC </w:t>
      </w:r>
      <w:r w:rsidR="00DC780D">
        <w:t xml:space="preserve">and IPC </w:t>
      </w:r>
      <w:r>
        <w:t xml:space="preserve">would support a recommendation mandating a multi-stakeholder, open and transparent process to establish a Code of Conduct on the issue of differentiating between natural v. legal persons for purposes of RDDS and/or a more holistic Code of Conduct covering various RDDS policy issues that have been the subject of the EPDP.  </w:t>
      </w:r>
    </w:p>
    <w:p w14:paraId="2A326A56" w14:textId="6B2633B1" w:rsidR="004938E5" w:rsidRDefault="004938E5" w:rsidP="00063D0A">
      <w:pPr>
        <w:jc w:val="both"/>
      </w:pPr>
    </w:p>
    <w:p w14:paraId="3399EDF6" w14:textId="291BCE49" w:rsidR="004938E5" w:rsidRDefault="004938E5" w:rsidP="00063D0A">
      <w:pPr>
        <w:jc w:val="both"/>
        <w:rPr>
          <w:u w:val="single"/>
        </w:rPr>
      </w:pPr>
      <w:r>
        <w:rPr>
          <w:b/>
          <w:bCs/>
          <w:u w:val="single"/>
        </w:rPr>
        <w:t>Recommendation 4</w:t>
      </w:r>
      <w:r>
        <w:rPr>
          <w:u w:val="single"/>
        </w:rPr>
        <w:t>: Unique Anonymized Email Address</w:t>
      </w:r>
    </w:p>
    <w:p w14:paraId="2AC59173" w14:textId="7869B4D4" w:rsidR="004938E5" w:rsidRDefault="004938E5" w:rsidP="00063D0A">
      <w:pPr>
        <w:jc w:val="both"/>
        <w:rPr>
          <w:u w:val="single"/>
        </w:rPr>
      </w:pPr>
    </w:p>
    <w:p w14:paraId="008EF694" w14:textId="03692E3E" w:rsidR="00B6008F" w:rsidRDefault="004938E5" w:rsidP="008A5AD3">
      <w:pPr>
        <w:jc w:val="both"/>
      </w:pPr>
      <w:r>
        <w:t xml:space="preserve">The BC </w:t>
      </w:r>
      <w:r w:rsidR="00DC780D">
        <w:t xml:space="preserve">and IPC </w:t>
      </w:r>
      <w:r>
        <w:t>oppose Recommendation 4.  The EPDP Phase 2A team recognized that it is technically feasible to have a registra</w:t>
      </w:r>
      <w:r w:rsidR="00895ED2">
        <w:t>nt</w:t>
      </w:r>
      <w:r>
        <w:t>-based email contact (</w:t>
      </w:r>
      <w:proofErr w:type="gramStart"/>
      <w:r>
        <w:t>i.e.</w:t>
      </w:r>
      <w:proofErr w:type="gramEnd"/>
      <w:r>
        <w:t xml:space="preserve"> a unique anonymized email address, i.e. a pseudonymized email address), but failed to mandate such a contact on the basis of certain risks and concerns </w:t>
      </w:r>
      <w:r w:rsidR="00AF5AA9">
        <w:t xml:space="preserve">identified </w:t>
      </w:r>
      <w:r>
        <w:t>by some stakeholders.</w:t>
      </w:r>
      <w:r w:rsidR="00895ED2">
        <w:t xml:space="preserve">  </w:t>
      </w:r>
      <w:r w:rsidR="00AF5AA9">
        <w:t xml:space="preserve">While the BC </w:t>
      </w:r>
      <w:r w:rsidR="00476D37">
        <w:t xml:space="preserve">and IPC </w:t>
      </w:r>
      <w:r w:rsidR="00AF5AA9">
        <w:t xml:space="preserve">acknowledge that this approach carries a slightly higher risk profile than a registration-based or fully anonymized email address or web form (the current requirement under the EPDP Phase 1 policy), the benefits to anti-abuse efforts far outweigh these additional risks and the BC </w:t>
      </w:r>
      <w:r w:rsidR="00476D37">
        <w:t xml:space="preserve">and IPC </w:t>
      </w:r>
      <w:r w:rsidR="00AF5AA9">
        <w:t xml:space="preserve">believe </w:t>
      </w:r>
      <w:r w:rsidR="00D05B27">
        <w:t xml:space="preserve">such an approach </w:t>
      </w:r>
      <w:r w:rsidR="00AF5AA9">
        <w:t xml:space="preserve">would still comply with </w:t>
      </w:r>
      <w:r w:rsidR="00A91EAD">
        <w:t>privacy</w:t>
      </w:r>
      <w:r w:rsidR="00AF5AA9">
        <w:t xml:space="preserve"> law.</w:t>
      </w:r>
      <w:r w:rsidR="00D05B27">
        <w:t xml:space="preserve">  </w:t>
      </w:r>
      <w:r w:rsidR="004C01CB">
        <w:t xml:space="preserve">The non-binding guidance in Recommendation 4 bears out this balance of risks and benefits.  </w:t>
      </w:r>
      <w:r w:rsidR="008A5AD3">
        <w:t xml:space="preserve">Thus, the BC </w:t>
      </w:r>
      <w:r w:rsidR="0019721F">
        <w:t xml:space="preserve">and IPC </w:t>
      </w:r>
      <w:r w:rsidR="008A5AD3">
        <w:t xml:space="preserve">continue to believe that a registrant-based pseudonymous email address should be required to facilitate the investigation of DNS abuse by enabling </w:t>
      </w:r>
      <w:proofErr w:type="spellStart"/>
      <w:r w:rsidR="008A5AD3">
        <w:t>contactability</w:t>
      </w:r>
      <w:proofErr w:type="spellEnd"/>
      <w:r w:rsidR="008A5AD3">
        <w:t xml:space="preserve"> and cross-referencing of registrations by registrants.  </w:t>
      </w:r>
    </w:p>
    <w:p w14:paraId="2C31362C" w14:textId="77777777" w:rsidR="00B6008F" w:rsidRDefault="00B6008F" w:rsidP="008A5AD3">
      <w:pPr>
        <w:jc w:val="both"/>
      </w:pPr>
    </w:p>
    <w:p w14:paraId="6C9294C5" w14:textId="665FDDE6" w:rsidR="00A24992" w:rsidRDefault="00A24992" w:rsidP="008A5AD3">
      <w:pPr>
        <w:jc w:val="both"/>
        <w:rPr>
          <w:b/>
          <w:bCs/>
        </w:rPr>
      </w:pPr>
      <w:r w:rsidRPr="00A24992">
        <w:rPr>
          <w:b/>
          <w:bCs/>
        </w:rPr>
        <w:t xml:space="preserve">Concluding BC </w:t>
      </w:r>
      <w:r w:rsidR="0019721F">
        <w:rPr>
          <w:b/>
          <w:bCs/>
        </w:rPr>
        <w:t xml:space="preserve">and IPC </w:t>
      </w:r>
      <w:r w:rsidRPr="00A24992">
        <w:rPr>
          <w:b/>
          <w:bCs/>
        </w:rPr>
        <w:t>Recommendation</w:t>
      </w:r>
    </w:p>
    <w:p w14:paraId="28A41FB2" w14:textId="77777777" w:rsidR="00A24992" w:rsidRDefault="00A24992" w:rsidP="008A5AD3">
      <w:pPr>
        <w:jc w:val="both"/>
        <w:rPr>
          <w:b/>
          <w:bCs/>
        </w:rPr>
      </w:pPr>
    </w:p>
    <w:p w14:paraId="102D53B6" w14:textId="5C82B315" w:rsidR="00E8777F" w:rsidRDefault="00A24992" w:rsidP="008A5AD3">
      <w:pPr>
        <w:jc w:val="both"/>
      </w:pPr>
      <w:r>
        <w:t xml:space="preserve">For the reasons outlined above </w:t>
      </w:r>
      <w:proofErr w:type="gramStart"/>
      <w:r>
        <w:t>and in the BC’s</w:t>
      </w:r>
      <w:proofErr w:type="gramEnd"/>
      <w:r w:rsidR="0019721F">
        <w:t xml:space="preserve"> and IPC’s</w:t>
      </w:r>
      <w:r>
        <w:t xml:space="preserve"> Minority Statement</w:t>
      </w:r>
      <w:r w:rsidR="0019721F">
        <w:t>s</w:t>
      </w:r>
      <w:r>
        <w:t xml:space="preserve"> on the EPDP Phase 2A Final Report</w:t>
      </w:r>
      <w:r w:rsidR="005814A1">
        <w:t xml:space="preserve"> (as well as the Minority Statements of other stakeholders including the At-Large Advisory Committee, the Governmental Advisory Committee, and the Security and Stability Advisory Committee), </w:t>
      </w:r>
      <w:r>
        <w:t>the BC</w:t>
      </w:r>
      <w:r w:rsidR="0019721F">
        <w:t xml:space="preserve"> and IPC</w:t>
      </w:r>
      <w:r>
        <w:t xml:space="preserve"> </w:t>
      </w:r>
      <w:r w:rsidR="0044393A">
        <w:t xml:space="preserve">strongly appeal to </w:t>
      </w:r>
      <w:r>
        <w:t>the ICANN Board to reject the EPDP Phase 2A outcomes and remand these issues back to the EPDP for additional work.</w:t>
      </w:r>
      <w:r w:rsidR="005814A1">
        <w:t xml:space="preserve">  </w:t>
      </w:r>
    </w:p>
    <w:p w14:paraId="0136B978" w14:textId="77777777" w:rsidR="00E8777F" w:rsidRDefault="00E8777F" w:rsidP="008A5AD3">
      <w:pPr>
        <w:jc w:val="both"/>
      </w:pPr>
    </w:p>
    <w:p w14:paraId="54479614" w14:textId="7DAAACE1" w:rsidR="00F93611" w:rsidRPr="00F93611" w:rsidRDefault="00AF5AA9" w:rsidP="00EF4E9D">
      <w:pPr>
        <w:jc w:val="both"/>
        <w:rPr>
          <w:b/>
          <w:bCs/>
        </w:rPr>
      </w:pPr>
      <w:r w:rsidRPr="00A24992">
        <w:rPr>
          <w:b/>
          <w:bCs/>
        </w:rPr>
        <w:t xml:space="preserve"> </w:t>
      </w:r>
    </w:p>
    <w:sectPr w:rsidR="00F93611" w:rsidRPr="00F93611" w:rsidSect="007F26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20B5" w14:textId="77777777" w:rsidR="001D29F1" w:rsidRDefault="001D29F1" w:rsidP="009B50BC">
      <w:r>
        <w:separator/>
      </w:r>
    </w:p>
  </w:endnote>
  <w:endnote w:type="continuationSeparator" w:id="0">
    <w:p w14:paraId="72CF3D85" w14:textId="77777777" w:rsidR="001D29F1" w:rsidRDefault="001D29F1" w:rsidP="009B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F387" w14:textId="77777777" w:rsidR="001D29F1" w:rsidRDefault="001D29F1" w:rsidP="009B50BC">
      <w:r>
        <w:separator/>
      </w:r>
    </w:p>
  </w:footnote>
  <w:footnote w:type="continuationSeparator" w:id="0">
    <w:p w14:paraId="073E8D01" w14:textId="77777777" w:rsidR="001D29F1" w:rsidRDefault="001D29F1" w:rsidP="009B50BC">
      <w:r>
        <w:continuationSeparator/>
      </w:r>
    </w:p>
  </w:footnote>
  <w:footnote w:id="1">
    <w:p w14:paraId="0BE1104B" w14:textId="073DBA34" w:rsidR="00695F3C" w:rsidRDefault="00695F3C">
      <w:pPr>
        <w:pStyle w:val="FootnoteText"/>
      </w:pPr>
      <w:r>
        <w:rPr>
          <w:rStyle w:val="FootnoteReference"/>
        </w:rPr>
        <w:footnoteRef/>
      </w:r>
      <w:r>
        <w:t xml:space="preserve"> ICANN Public comment page at </w:t>
      </w:r>
      <w:hyperlink r:id="rId1" w:history="1">
        <w:r w:rsidRPr="00D94811">
          <w:rPr>
            <w:rStyle w:val="Hyperlink"/>
          </w:rPr>
          <w:t>https://www.icann.org/en/public-comment/proceeding/epdp-phase-2a-policy-recommendations-for-icann-board-consideration-23-11-2021</w:t>
        </w:r>
      </w:hyperlink>
      <w:r>
        <w:t xml:space="preserve"> </w:t>
      </w:r>
    </w:p>
  </w:footnote>
  <w:footnote w:id="2">
    <w:p w14:paraId="7EC1FC77" w14:textId="7B963689" w:rsidR="001B7BBC" w:rsidRDefault="001B7BBC">
      <w:pPr>
        <w:pStyle w:val="FootnoteText"/>
      </w:pPr>
      <w:r>
        <w:rPr>
          <w:rStyle w:val="FootnoteReference"/>
        </w:rPr>
        <w:footnoteRef/>
      </w:r>
      <w:r>
        <w:t xml:space="preserve"> </w:t>
      </w:r>
      <w:hyperlink r:id="rId2" w:history="1">
        <w:r w:rsidRPr="00D94811">
          <w:rPr>
            <w:rStyle w:val="Hyperlink"/>
          </w:rPr>
          <w:t>https://gnso.icann.org/sites/default/files/file/field-file-attach/epdp-2-priority-2-items-10sep20-en.pdf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516BD"/>
    <w:multiLevelType w:val="hybridMultilevel"/>
    <w:tmpl w:val="2CF86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D13F2F"/>
    <w:multiLevelType w:val="hybridMultilevel"/>
    <w:tmpl w:val="74B6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E244A"/>
    <w:multiLevelType w:val="hybridMultilevel"/>
    <w:tmpl w:val="BE6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11"/>
    <w:rsid w:val="00005A68"/>
    <w:rsid w:val="0005389A"/>
    <w:rsid w:val="00063D0A"/>
    <w:rsid w:val="00196615"/>
    <w:rsid w:val="0019721F"/>
    <w:rsid w:val="001B7BBC"/>
    <w:rsid w:val="001D29F1"/>
    <w:rsid w:val="00273503"/>
    <w:rsid w:val="002805B3"/>
    <w:rsid w:val="002D2043"/>
    <w:rsid w:val="002E73E9"/>
    <w:rsid w:val="003549D9"/>
    <w:rsid w:val="003B50E8"/>
    <w:rsid w:val="0041355C"/>
    <w:rsid w:val="0043281F"/>
    <w:rsid w:val="0044393A"/>
    <w:rsid w:val="00445072"/>
    <w:rsid w:val="004632CE"/>
    <w:rsid w:val="00463957"/>
    <w:rsid w:val="00476D37"/>
    <w:rsid w:val="004938E5"/>
    <w:rsid w:val="004C01CB"/>
    <w:rsid w:val="004E593E"/>
    <w:rsid w:val="00557053"/>
    <w:rsid w:val="00577DA8"/>
    <w:rsid w:val="005814A1"/>
    <w:rsid w:val="005A1E4C"/>
    <w:rsid w:val="005D229B"/>
    <w:rsid w:val="00600477"/>
    <w:rsid w:val="00694BC6"/>
    <w:rsid w:val="00695F3C"/>
    <w:rsid w:val="006B3890"/>
    <w:rsid w:val="00772BD3"/>
    <w:rsid w:val="007856C1"/>
    <w:rsid w:val="007A0901"/>
    <w:rsid w:val="007F261C"/>
    <w:rsid w:val="008576EA"/>
    <w:rsid w:val="00895ED2"/>
    <w:rsid w:val="008A58F7"/>
    <w:rsid w:val="008A5AD3"/>
    <w:rsid w:val="008B3BE2"/>
    <w:rsid w:val="008F72DF"/>
    <w:rsid w:val="009442A7"/>
    <w:rsid w:val="009509A7"/>
    <w:rsid w:val="009667BB"/>
    <w:rsid w:val="009B50BC"/>
    <w:rsid w:val="009E2E57"/>
    <w:rsid w:val="00A24992"/>
    <w:rsid w:val="00A5040B"/>
    <w:rsid w:val="00A71A5F"/>
    <w:rsid w:val="00A91EAD"/>
    <w:rsid w:val="00AD5425"/>
    <w:rsid w:val="00AF5AA9"/>
    <w:rsid w:val="00AF78D6"/>
    <w:rsid w:val="00B204D0"/>
    <w:rsid w:val="00B6008F"/>
    <w:rsid w:val="00B840B8"/>
    <w:rsid w:val="00B92E9C"/>
    <w:rsid w:val="00BA041E"/>
    <w:rsid w:val="00BD4D02"/>
    <w:rsid w:val="00C0063B"/>
    <w:rsid w:val="00C232BF"/>
    <w:rsid w:val="00C324F3"/>
    <w:rsid w:val="00C652CC"/>
    <w:rsid w:val="00D05B27"/>
    <w:rsid w:val="00D61732"/>
    <w:rsid w:val="00D82210"/>
    <w:rsid w:val="00DB02CE"/>
    <w:rsid w:val="00DC780D"/>
    <w:rsid w:val="00E013DB"/>
    <w:rsid w:val="00E07F0B"/>
    <w:rsid w:val="00E6239F"/>
    <w:rsid w:val="00E724C8"/>
    <w:rsid w:val="00E74E34"/>
    <w:rsid w:val="00E8777F"/>
    <w:rsid w:val="00E907D5"/>
    <w:rsid w:val="00EF4E9D"/>
    <w:rsid w:val="00F53562"/>
    <w:rsid w:val="00F93611"/>
    <w:rsid w:val="00FC74F8"/>
    <w:rsid w:val="00FE1C70"/>
    <w:rsid w:val="00FE2A61"/>
    <w:rsid w:val="00FE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57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9C"/>
    <w:pPr>
      <w:ind w:left="720"/>
      <w:contextualSpacing/>
    </w:pPr>
  </w:style>
  <w:style w:type="paragraph" w:styleId="Quote">
    <w:name w:val="Quote"/>
    <w:basedOn w:val="Normal"/>
    <w:next w:val="Normal"/>
    <w:link w:val="QuoteChar"/>
    <w:qFormat/>
    <w:rsid w:val="00B92E9C"/>
    <w:pPr>
      <w:spacing w:after="240"/>
      <w:ind w:left="1080" w:right="1080"/>
    </w:pPr>
    <w:rPr>
      <w:rFonts w:ascii="Times New Roman" w:eastAsia="Times New Roman" w:hAnsi="Times New Roman" w:cs="Times New Roman"/>
      <w:sz w:val="22"/>
      <w:szCs w:val="20"/>
    </w:rPr>
  </w:style>
  <w:style w:type="character" w:customStyle="1" w:styleId="QuoteChar">
    <w:name w:val="Quote Char"/>
    <w:basedOn w:val="DefaultParagraphFont"/>
    <w:link w:val="Quote"/>
    <w:rsid w:val="00B92E9C"/>
    <w:rPr>
      <w:rFonts w:ascii="Times New Roman" w:eastAsia="Times New Roman" w:hAnsi="Times New Roman" w:cs="Times New Roman"/>
      <w:sz w:val="22"/>
      <w:szCs w:val="20"/>
      <w:lang w:val="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fn"/>
    <w:basedOn w:val="Normal"/>
    <w:link w:val="FootnoteTextChar"/>
    <w:uiPriority w:val="4"/>
    <w:unhideWhenUsed/>
    <w:rsid w:val="009B50BC"/>
    <w:rPr>
      <w:sz w:val="20"/>
      <w:szCs w:val="20"/>
    </w:rPr>
  </w:style>
  <w:style w:type="character" w:customStyle="1" w:styleId="FootnoteTextChar">
    <w:name w:val="Footnote Text Char"/>
    <w:aliases w:val="Footnote Text Char1 Char1,Footnote Text Char Char Char,Footnote Text Char1 Char Char Char,Footnote Text Char Char Char Char Char,Footnote Text Char1 Char Char Char Char Char,Footnote Text Char Char Char Char Char Char Char,fn Char"/>
    <w:basedOn w:val="DefaultParagraphFont"/>
    <w:link w:val="FootnoteText"/>
    <w:uiPriority w:val="4"/>
    <w:rsid w:val="009B50BC"/>
    <w:rPr>
      <w:sz w:val="20"/>
      <w:szCs w:val="20"/>
    </w:rPr>
  </w:style>
  <w:style w:type="character" w:styleId="FootnoteReference">
    <w:name w:val="footnote reference"/>
    <w:basedOn w:val="DefaultParagraphFont"/>
    <w:uiPriority w:val="99"/>
    <w:unhideWhenUsed/>
    <w:rsid w:val="009B50BC"/>
    <w:rPr>
      <w:vertAlign w:val="superscript"/>
    </w:rPr>
  </w:style>
  <w:style w:type="character" w:styleId="Hyperlink">
    <w:name w:val="Hyperlink"/>
    <w:basedOn w:val="DefaultParagraphFont"/>
    <w:uiPriority w:val="99"/>
    <w:unhideWhenUsed/>
    <w:rsid w:val="009B50BC"/>
    <w:rPr>
      <w:color w:val="0563C1" w:themeColor="hyperlink"/>
      <w:u w:val="single"/>
    </w:rPr>
  </w:style>
  <w:style w:type="character" w:styleId="CommentReference">
    <w:name w:val="annotation reference"/>
    <w:basedOn w:val="DefaultParagraphFont"/>
    <w:uiPriority w:val="99"/>
    <w:semiHidden/>
    <w:unhideWhenUsed/>
    <w:rsid w:val="002805B3"/>
    <w:rPr>
      <w:sz w:val="16"/>
      <w:szCs w:val="16"/>
    </w:rPr>
  </w:style>
  <w:style w:type="paragraph" w:styleId="CommentText">
    <w:name w:val="annotation text"/>
    <w:basedOn w:val="Normal"/>
    <w:link w:val="CommentTextChar"/>
    <w:uiPriority w:val="99"/>
    <w:semiHidden/>
    <w:unhideWhenUsed/>
    <w:rsid w:val="002805B3"/>
    <w:rPr>
      <w:sz w:val="20"/>
      <w:szCs w:val="20"/>
    </w:rPr>
  </w:style>
  <w:style w:type="character" w:customStyle="1" w:styleId="CommentTextChar">
    <w:name w:val="Comment Text Char"/>
    <w:basedOn w:val="DefaultParagraphFont"/>
    <w:link w:val="CommentText"/>
    <w:uiPriority w:val="99"/>
    <w:semiHidden/>
    <w:rsid w:val="002805B3"/>
    <w:rPr>
      <w:sz w:val="20"/>
      <w:szCs w:val="20"/>
    </w:rPr>
  </w:style>
  <w:style w:type="paragraph" w:styleId="CommentSubject">
    <w:name w:val="annotation subject"/>
    <w:basedOn w:val="CommentText"/>
    <w:next w:val="CommentText"/>
    <w:link w:val="CommentSubjectChar"/>
    <w:uiPriority w:val="99"/>
    <w:semiHidden/>
    <w:unhideWhenUsed/>
    <w:rsid w:val="002805B3"/>
    <w:rPr>
      <w:b/>
      <w:bCs/>
    </w:rPr>
  </w:style>
  <w:style w:type="character" w:customStyle="1" w:styleId="CommentSubjectChar">
    <w:name w:val="Comment Subject Char"/>
    <w:basedOn w:val="CommentTextChar"/>
    <w:link w:val="CommentSubject"/>
    <w:uiPriority w:val="99"/>
    <w:semiHidden/>
    <w:rsid w:val="002805B3"/>
    <w:rPr>
      <w:b/>
      <w:bCs/>
      <w:sz w:val="20"/>
      <w:szCs w:val="20"/>
    </w:rPr>
  </w:style>
  <w:style w:type="character" w:styleId="UnresolvedMention">
    <w:name w:val="Unresolved Mention"/>
    <w:basedOn w:val="DefaultParagraphFont"/>
    <w:uiPriority w:val="99"/>
    <w:semiHidden/>
    <w:unhideWhenUsed/>
    <w:rsid w:val="00695F3C"/>
    <w:rPr>
      <w:color w:val="605E5C"/>
      <w:shd w:val="clear" w:color="auto" w:fill="E1DFDD"/>
    </w:rPr>
  </w:style>
  <w:style w:type="paragraph" w:styleId="Header">
    <w:name w:val="header"/>
    <w:basedOn w:val="Normal"/>
    <w:link w:val="HeaderChar"/>
    <w:uiPriority w:val="99"/>
    <w:unhideWhenUsed/>
    <w:rsid w:val="00005A68"/>
    <w:pPr>
      <w:tabs>
        <w:tab w:val="center" w:pos="4680"/>
        <w:tab w:val="right" w:pos="9360"/>
      </w:tabs>
    </w:pPr>
  </w:style>
  <w:style w:type="character" w:customStyle="1" w:styleId="HeaderChar">
    <w:name w:val="Header Char"/>
    <w:basedOn w:val="DefaultParagraphFont"/>
    <w:link w:val="Header"/>
    <w:uiPriority w:val="99"/>
    <w:rsid w:val="00005A68"/>
  </w:style>
  <w:style w:type="paragraph" w:styleId="Footer">
    <w:name w:val="footer"/>
    <w:basedOn w:val="Normal"/>
    <w:link w:val="FooterChar"/>
    <w:uiPriority w:val="99"/>
    <w:unhideWhenUsed/>
    <w:rsid w:val="00005A68"/>
    <w:pPr>
      <w:tabs>
        <w:tab w:val="center" w:pos="4680"/>
        <w:tab w:val="right" w:pos="9360"/>
      </w:tabs>
    </w:pPr>
  </w:style>
  <w:style w:type="character" w:customStyle="1" w:styleId="FooterChar">
    <w:name w:val="Footer Char"/>
    <w:basedOn w:val="DefaultParagraphFont"/>
    <w:link w:val="Footer"/>
    <w:uiPriority w:val="99"/>
    <w:rsid w:val="00005A68"/>
  </w:style>
  <w:style w:type="paragraph" w:styleId="Revision">
    <w:name w:val="Revision"/>
    <w:hidden/>
    <w:uiPriority w:val="99"/>
    <w:semiHidden/>
    <w:rsid w:val="0044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0184">
      <w:bodyDiv w:val="1"/>
      <w:marLeft w:val="0"/>
      <w:marRight w:val="0"/>
      <w:marTop w:val="0"/>
      <w:marBottom w:val="0"/>
      <w:divBdr>
        <w:top w:val="none" w:sz="0" w:space="0" w:color="auto"/>
        <w:left w:val="none" w:sz="0" w:space="0" w:color="auto"/>
        <w:bottom w:val="none" w:sz="0" w:space="0" w:color="auto"/>
        <w:right w:val="none" w:sz="0" w:space="0" w:color="auto"/>
      </w:divBdr>
      <w:divsChild>
        <w:div w:id="1317344752">
          <w:marLeft w:val="0"/>
          <w:marRight w:val="0"/>
          <w:marTop w:val="0"/>
          <w:marBottom w:val="0"/>
          <w:divBdr>
            <w:top w:val="none" w:sz="0" w:space="0" w:color="auto"/>
            <w:left w:val="none" w:sz="0" w:space="0" w:color="auto"/>
            <w:bottom w:val="none" w:sz="0" w:space="0" w:color="auto"/>
            <w:right w:val="none" w:sz="0" w:space="0" w:color="auto"/>
          </w:divBdr>
        </w:div>
      </w:divsChild>
    </w:div>
    <w:div w:id="1413743645">
      <w:bodyDiv w:val="1"/>
      <w:marLeft w:val="0"/>
      <w:marRight w:val="0"/>
      <w:marTop w:val="0"/>
      <w:marBottom w:val="0"/>
      <w:divBdr>
        <w:top w:val="none" w:sz="0" w:space="0" w:color="auto"/>
        <w:left w:val="none" w:sz="0" w:space="0" w:color="auto"/>
        <w:bottom w:val="none" w:sz="0" w:space="0" w:color="auto"/>
        <w:right w:val="none" w:sz="0" w:space="0" w:color="auto"/>
      </w:divBdr>
      <w:divsChild>
        <w:div w:id="717515882">
          <w:marLeft w:val="0"/>
          <w:marRight w:val="0"/>
          <w:marTop w:val="0"/>
          <w:marBottom w:val="0"/>
          <w:divBdr>
            <w:top w:val="none" w:sz="0" w:space="0" w:color="auto"/>
            <w:left w:val="none" w:sz="0" w:space="0" w:color="auto"/>
            <w:bottom w:val="none" w:sz="0" w:space="0" w:color="auto"/>
            <w:right w:val="none" w:sz="0" w:space="0" w:color="auto"/>
          </w:divBdr>
        </w:div>
      </w:divsChild>
    </w:div>
    <w:div w:id="1718965435">
      <w:bodyDiv w:val="1"/>
      <w:marLeft w:val="0"/>
      <w:marRight w:val="0"/>
      <w:marTop w:val="0"/>
      <w:marBottom w:val="0"/>
      <w:divBdr>
        <w:top w:val="none" w:sz="0" w:space="0" w:color="auto"/>
        <w:left w:val="none" w:sz="0" w:space="0" w:color="auto"/>
        <w:bottom w:val="none" w:sz="0" w:space="0" w:color="auto"/>
        <w:right w:val="none" w:sz="0" w:space="0" w:color="auto"/>
      </w:divBdr>
      <w:divsChild>
        <w:div w:id="1640261939">
          <w:marLeft w:val="0"/>
          <w:marRight w:val="0"/>
          <w:marTop w:val="0"/>
          <w:marBottom w:val="0"/>
          <w:divBdr>
            <w:top w:val="none" w:sz="0" w:space="0" w:color="auto"/>
            <w:left w:val="none" w:sz="0" w:space="0" w:color="auto"/>
            <w:bottom w:val="none" w:sz="0" w:space="0" w:color="auto"/>
            <w:right w:val="none" w:sz="0" w:space="0" w:color="auto"/>
          </w:divBdr>
        </w:div>
      </w:divsChild>
    </w:div>
    <w:div w:id="1902521963">
      <w:bodyDiv w:val="1"/>
      <w:marLeft w:val="0"/>
      <w:marRight w:val="0"/>
      <w:marTop w:val="0"/>
      <w:marBottom w:val="0"/>
      <w:divBdr>
        <w:top w:val="none" w:sz="0" w:space="0" w:color="auto"/>
        <w:left w:val="none" w:sz="0" w:space="0" w:color="auto"/>
        <w:bottom w:val="none" w:sz="0" w:space="0" w:color="auto"/>
        <w:right w:val="none" w:sz="0" w:space="0" w:color="auto"/>
      </w:divBdr>
      <w:divsChild>
        <w:div w:id="81900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nso.icann.org/sites/default/files/file/field-file-attach/epdp-2-priority-2-items-10sep20-en.pdf" TargetMode="External"/><Relationship Id="rId1" Type="http://schemas.openxmlformats.org/officeDocument/2006/relationships/hyperlink" Target="https://www.icann.org/en/public-comment/proceeding/epdp-phase-2a-policy-recommendations-for-icann-board-consideration-23-1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1934-3A0A-9541-A639-7E106039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2022-01-13T15:38:00Z</dcterms:created>
  <dcterms:modified xsi:type="dcterms:W3CDTF">2022-01-13T15:38:00Z</dcterms:modified>
</cp:coreProperties>
</file>